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2D" w:rsidRPr="009D7D2D" w:rsidRDefault="009D7D2D" w:rsidP="009D7D2D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D7D2D">
        <w:rPr>
          <w:rFonts w:asciiTheme="majorBidi" w:hAnsiTheme="majorBidi" w:cstheme="majorBidi"/>
          <w:b/>
          <w:bCs/>
          <w:sz w:val="40"/>
          <w:szCs w:val="40"/>
        </w:rPr>
        <w:t>A supreme committee to develop Benha university resou</w:t>
      </w:r>
      <w:bookmarkStart w:id="0" w:name="_GoBack"/>
      <w:bookmarkEnd w:id="0"/>
      <w:r w:rsidRPr="009D7D2D">
        <w:rPr>
          <w:rFonts w:asciiTheme="majorBidi" w:hAnsiTheme="majorBidi" w:cstheme="majorBidi"/>
          <w:b/>
          <w:bCs/>
          <w:sz w:val="40"/>
          <w:szCs w:val="40"/>
        </w:rPr>
        <w:t>rces</w:t>
      </w:r>
    </w:p>
    <w:p w:rsidR="009A46AD" w:rsidRPr="009D7D2D" w:rsidRDefault="007F5661" w:rsidP="009D7D2D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9D7D2D">
        <w:rPr>
          <w:rFonts w:asciiTheme="majorBidi" w:eastAsia="Times New Roman" w:hAnsiTheme="majorBidi" w:cstheme="majorBidi"/>
          <w:sz w:val="60"/>
          <w:szCs w:val="60"/>
          <w:bdr w:val="none" w:sz="0" w:space="0" w:color="auto" w:frame="1"/>
        </w:rPr>
        <w:tab/>
      </w:r>
      <w:r w:rsidR="00822130" w:rsidRPr="009D7D2D">
        <w:rPr>
          <w:rFonts w:asciiTheme="majorBidi" w:eastAsia="Times New Roman" w:hAnsiTheme="majorBidi" w:cstheme="majorBidi"/>
          <w:sz w:val="16"/>
          <w:szCs w:val="16"/>
          <w:bdr w:val="none" w:sz="0" w:space="0" w:color="auto" w:frame="1"/>
        </w:rPr>
        <w:tab/>
      </w:r>
    </w:p>
    <w:p w:rsidR="009D7D2D" w:rsidRPr="009D7D2D" w:rsidRDefault="00720994" w:rsidP="009D7D2D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D7D2D">
        <w:rPr>
          <w:rFonts w:asciiTheme="majorBidi" w:hAnsiTheme="majorBidi" w:cstheme="majorBidi"/>
          <w:noProof/>
          <w:sz w:val="60"/>
          <w:szCs w:val="60"/>
          <w:rtl/>
        </w:rPr>
        <w:drawing>
          <wp:anchor distT="0" distB="0" distL="114300" distR="114300" simplePos="0" relativeHeight="251679744" behindDoc="1" locked="0" layoutInCell="1" allowOverlap="1" wp14:anchorId="2458AD22" wp14:editId="78F6AD5E">
            <wp:simplePos x="0" y="0"/>
            <wp:positionH relativeFrom="margin">
              <wp:posOffset>3999230</wp:posOffset>
            </wp:positionH>
            <wp:positionV relativeFrom="margin">
              <wp:posOffset>927735</wp:posOffset>
            </wp:positionV>
            <wp:extent cx="158369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06" y="21162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D2D" w:rsidRPr="009D7D2D">
        <w:rPr>
          <w:rFonts w:asciiTheme="majorBidi" w:hAnsiTheme="majorBidi" w:cstheme="majorBidi"/>
          <w:sz w:val="32"/>
          <w:szCs w:val="32"/>
        </w:rPr>
        <w:t xml:space="preserve"> Prof.Dr. EL-Sayed EL-Kady, the university president issues a decree to form a supreme committee to develop Benha university resources. The committee includes prof.Dr.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Safwat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Zahran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 and prof.Dr. 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Hossam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 EL-Attar, the former Benha university presidents, prof.Dr.</w:t>
      </w:r>
      <w:r w:rsidR="009D7D2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Soheir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Sharaway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, the former vice president, prof.Dr. Nabil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Shedid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, the former dean of the faculty of medicine, prof.Dr. Mahmoud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Hamed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, the former dean of the faculty of engineering, prof.Dr. Ashraf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Tawfik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 xml:space="preserve"> and prof.Dr. Muhammad </w:t>
      </w:r>
      <w:proofErr w:type="spellStart"/>
      <w:r w:rsidR="009D7D2D" w:rsidRPr="009D7D2D">
        <w:rPr>
          <w:rFonts w:asciiTheme="majorBidi" w:hAnsiTheme="majorBidi" w:cstheme="majorBidi"/>
          <w:sz w:val="32"/>
          <w:szCs w:val="32"/>
        </w:rPr>
        <w:t>Mady</w:t>
      </w:r>
      <w:proofErr w:type="spellEnd"/>
      <w:r w:rsidR="009D7D2D" w:rsidRPr="009D7D2D">
        <w:rPr>
          <w:rFonts w:asciiTheme="majorBidi" w:hAnsiTheme="majorBidi" w:cstheme="majorBidi"/>
          <w:sz w:val="32"/>
          <w:szCs w:val="32"/>
        </w:rPr>
        <w:t>, the professors in the faculties of law and agriculture respectively.</w:t>
      </w:r>
    </w:p>
    <w:p w:rsidR="00720994" w:rsidRPr="009D7D2D" w:rsidRDefault="00720994" w:rsidP="009D7D2D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9D7D2D">
        <w:rPr>
          <w:rFonts w:asciiTheme="majorBidi" w:hAnsiTheme="majorBidi" w:cstheme="majorBidi"/>
          <w:sz w:val="36"/>
          <w:szCs w:val="36"/>
        </w:rPr>
        <w:t xml:space="preserve"> </w:t>
      </w:r>
    </w:p>
    <w:p w:rsidR="00D441DB" w:rsidRPr="009D7D2D" w:rsidRDefault="00D441DB" w:rsidP="009D7D2D">
      <w:pPr>
        <w:bidi w:val="0"/>
        <w:jc w:val="lowKashida"/>
        <w:rPr>
          <w:rFonts w:asciiTheme="majorBidi" w:hAnsiTheme="majorBidi" w:cstheme="majorBidi"/>
          <w:sz w:val="56"/>
          <w:szCs w:val="56"/>
        </w:rPr>
      </w:pPr>
      <w:r w:rsidRPr="009D7D2D">
        <w:rPr>
          <w:rFonts w:asciiTheme="majorBidi" w:hAnsiTheme="majorBidi" w:cstheme="majorBidi"/>
          <w:sz w:val="56"/>
          <w:szCs w:val="56"/>
        </w:rPr>
        <w:t xml:space="preserve"> </w:t>
      </w:r>
    </w:p>
    <w:p w:rsidR="00654389" w:rsidRPr="009D7D2D" w:rsidRDefault="00654389" w:rsidP="009D7D2D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116097" w:rsidRPr="009D7D2D" w:rsidRDefault="00116097" w:rsidP="009D7D2D">
      <w:pPr>
        <w:bidi w:val="0"/>
        <w:jc w:val="lowKashida"/>
        <w:rPr>
          <w:rFonts w:asciiTheme="majorBidi" w:hAnsiTheme="majorBidi" w:cstheme="majorBidi"/>
          <w:sz w:val="60"/>
          <w:szCs w:val="60"/>
        </w:rPr>
      </w:pPr>
    </w:p>
    <w:p w:rsidR="00365536" w:rsidRPr="009D7D2D" w:rsidRDefault="00607F63" w:rsidP="009D7D2D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60"/>
          <w:szCs w:val="60"/>
        </w:rPr>
      </w:pPr>
      <w:r w:rsidRPr="009D7D2D">
        <w:rPr>
          <w:rFonts w:asciiTheme="majorBidi" w:hAnsiTheme="majorBidi" w:cstheme="majorBidi"/>
          <w:sz w:val="60"/>
          <w:szCs w:val="60"/>
        </w:rPr>
        <w:t xml:space="preserve"> </w:t>
      </w:r>
    </w:p>
    <w:sectPr w:rsidR="00365536" w:rsidRPr="009D7D2D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9" w:rsidRDefault="009960D9" w:rsidP="00683527">
      <w:pPr>
        <w:spacing w:after="0" w:line="240" w:lineRule="auto"/>
      </w:pPr>
      <w:r>
        <w:separator/>
      </w:r>
    </w:p>
  </w:endnote>
  <w:endnote w:type="continuationSeparator" w:id="0">
    <w:p w:rsidR="009960D9" w:rsidRDefault="009960D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9" w:rsidRDefault="009960D9" w:rsidP="00683527">
      <w:pPr>
        <w:spacing w:after="0" w:line="240" w:lineRule="auto"/>
      </w:pPr>
      <w:r>
        <w:separator/>
      </w:r>
    </w:p>
  </w:footnote>
  <w:footnote w:type="continuationSeparator" w:id="0">
    <w:p w:rsidR="009960D9" w:rsidRDefault="009960D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ED2" w:rsidP="000D7ED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0D9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530-338D-42A8-AECA-53E4038F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2876</cp:revision>
  <cp:lastPrinted>2016-11-10T07:43:00Z</cp:lastPrinted>
  <dcterms:created xsi:type="dcterms:W3CDTF">2016-04-04T10:17:00Z</dcterms:created>
  <dcterms:modified xsi:type="dcterms:W3CDTF">2017-11-21T11:50:00Z</dcterms:modified>
</cp:coreProperties>
</file>